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00" w:type="dxa"/>
        <w:tblInd w:w="108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504"/>
        <w:gridCol w:w="700"/>
        <w:gridCol w:w="775"/>
        <w:gridCol w:w="825"/>
        <w:gridCol w:w="5438"/>
        <w:gridCol w:w="4875"/>
        <w:gridCol w:w="1083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文星标宋" w:hAnsi="文星标宋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文星标宋" w:hAnsi="文星标宋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jc w:val="center"/>
              <w:rPr>
                <w:rFonts w:hint="eastAsia" w:ascii="文星标宋" w:hAnsi="文星标宋" w:eastAsia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文星标宋" w:hAnsi="文星标宋" w:eastAsia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济南城市建设集团园区管理有限公司招聘岗位</w:t>
            </w:r>
            <w:r>
              <w:rPr>
                <w:rFonts w:ascii="文星标宋" w:hAnsi="文星标宋" w:eastAsia="宋体" w:cs="宋体"/>
                <w:b/>
                <w:bCs/>
                <w:color w:val="auto"/>
                <w:kern w:val="0"/>
                <w:sz w:val="36"/>
                <w:szCs w:val="36"/>
              </w:rPr>
              <w:t>需求</w:t>
            </w:r>
            <w:r>
              <w:rPr>
                <w:rFonts w:hint="eastAsia" w:ascii="文星标宋" w:hAnsi="文星标宋" w:eastAsia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明细</w:t>
            </w:r>
            <w:r>
              <w:rPr>
                <w:rFonts w:ascii="文星标宋" w:hAnsi="文星标宋" w:eastAsia="宋体" w:cs="宋体"/>
                <w:b/>
                <w:bCs/>
                <w:color w:val="auto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任职资格                                                                                                                                                  （学历、经验、综合素质等）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综合部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材料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负责公司各类行政文件、信函、报告、通知、讲话稿、宣传文案等文书材料的起草、撰写、修订等工作； 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负责公司各类行政文件、信函、报告、传真等资料的签收、登记、分办、摘编、催办、收集、存档等工作；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负责公司及子公司行政档案的收集、整理、归档、借阅等管理工作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4、负责各种会议的会务工作做好会议记录，起草公司工作计划总结、会议纪要、简报，协助督促各单位贯彻落实各项工作任务的情况；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5、草拟年度工作计划、总结、报告、清算、批复等文件；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按时完成公司及上级领导交办的其他工作任务。</w:t>
            </w:r>
          </w:p>
        </w:tc>
        <w:tc>
          <w:tcPr>
            <w:tcW w:w="4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岁以下，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相关岗位工作经验，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有大型国企类似工作经验者优先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大学本科及以上学历，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中文、新闻、语言类等专业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具备良好的沟通协调能力和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语言组织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能力；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熟悉办公室工作流程及公文写作格式。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425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财务专员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核算工作，包括发生收入、支出、费用、成本的计算，发生各类款项和有价证券的收付及债权债务结算等事项时，及时办理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手续进行会计核算；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制定落实部门人员岗位职责分工，并负责实施与考核；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3、负责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账簿的登记工作，包括账簿的设置、启用、登记、对账、结账等工作；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负责定期编制财务报告，包括编制报表主表、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报表附表、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报表附注及相关说明；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负责固定资产管理建账与盘点工作，建立固定资产台账并及时更新，及时开展固定资产盘点，确保资产安全与完整；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负责维护财务信息系统数据，定期开展数据分析与检核，完善系统操作流程；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协助开展全面预算与成本管理工作，监督、检查公司业务部门及子公司年度预算编制情况与预算执行情况，定期统计、分析各项成本支出；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按时完成公司及上级领导交办的其他工作任务。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岁以下，精通财务管理等相关法律法规及企业财务制度和流程，具有全面的财务专业知识，财务处理及财务管理经验；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2、具备中级会计师及以上职称；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3、大专及以上学历；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4、有5年以上财务方面的工作经验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5、良好的职业道德和职业操守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济西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湿地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财务专员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严格遵守集团和公司各项管理规定；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严格执行集团及园区公司财务管理制度，负责按时报送各类报表，提供数据支持；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负责统计景区各项收入、支出明细表，并及时准确上报园区公司财务部；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负责景区各项经营项目的投入产出分析测算；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负责景区可出租资产的统计与分析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负责景区合同签订初审事宜，严格流程审批，加强合同监管，维护景区利益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协助公司负责人做好月度、年度预算的编制和实施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严格按照园区公司财务制度及流程，负责景区网报工作，高质高效提交并送审。</w:t>
            </w:r>
          </w:p>
        </w:tc>
        <w:tc>
          <w:tcPr>
            <w:tcW w:w="4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1、年龄35岁以下，财务会计专业本科及以上学历，,具有会计方面资格证书；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2、2年以上出纳、财务相关工作经验，专业工作能力强，能较快适应新工作要求，吃苦耐劳，认真负责；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3、企业忠诚度高，团队协作能力强。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OGMyMDRiODYyMThlNjAzOThjZTc4N2UwZTYzNzYifQ=="/>
  </w:docVars>
  <w:rsids>
    <w:rsidRoot w:val="00000000"/>
    <w:rsid w:val="6503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beforeAutospacing="0" w:afterAutospacing="0"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2023-04-24T05:34:15Z</dcterms:created>
  <dc:creator>admin</dc:creator>
  <cp:lastModifiedBy>侯仁华</cp:lastModifiedBy>
  <dcterms:modified xsi:type="dcterms:W3CDTF">2023-04-24T05:34:53Z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2F037461AF9F43F5899D4F166BEA5D31_12</vt:lpwstr>
  </property>
</Properties>
</file>